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600" w:lineRule="exact"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附件2</w:t>
      </w:r>
    </w:p>
    <w:p>
      <w:pPr>
        <w:pStyle w:val="3"/>
        <w:spacing w:before="0" w:after="0" w:line="600" w:lineRule="exact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pStyle w:val="3"/>
        <w:spacing w:before="0" w:after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三亚国际游艇中心VI与馆内软装项目</w:t>
      </w:r>
    </w:p>
    <w:p>
      <w:pPr>
        <w:pStyle w:val="3"/>
        <w:spacing w:before="0" w:after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评分说明</w:t>
      </w:r>
    </w:p>
    <w:p/>
    <w:p>
      <w:pPr>
        <w:spacing w:line="578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本项目的评标办法采用综合评分法。满分为100分，其中报价部分得分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0分，商务部分2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分，技术部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分60分。综合得分最高者为第一成交候选人。</w:t>
      </w:r>
    </w:p>
    <w:p>
      <w:pPr>
        <w:spacing w:line="578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报价</w:t>
      </w:r>
      <w:r>
        <w:rPr>
          <w:rFonts w:eastAsia="黑体"/>
          <w:bCs/>
          <w:sz w:val="32"/>
          <w:szCs w:val="32"/>
        </w:rPr>
        <w:t>部分（20分）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价格得分计算公式：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价格分统一采用低价优先法计算，将通过初步筛选的所有投标人的投标价格，即满足招标文件要求且价格最低的投标报价为基准价，其价格分为满分（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0分）。其他投标人的价格分统一按照下列公式计算：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评标基准值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有效投标人的最低投标报价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报价得分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评标基准值/投标报价×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0%×100。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注：价格得分取小数点后两位，四舍五入。</w:t>
      </w:r>
    </w:p>
    <w:p>
      <w:pPr>
        <w:spacing w:line="578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二、商务部分（20分）</w:t>
      </w:r>
    </w:p>
    <w:tbl>
      <w:tblPr>
        <w:tblStyle w:val="6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76"/>
        <w:gridCol w:w="652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评审内容</w:t>
            </w:r>
          </w:p>
        </w:tc>
        <w:tc>
          <w:tcPr>
            <w:tcW w:w="6520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评分标准</w:t>
            </w:r>
          </w:p>
        </w:tc>
        <w:tc>
          <w:tcPr>
            <w:tcW w:w="1247" w:type="dxa"/>
          </w:tcPr>
          <w:p>
            <w:pPr>
              <w:spacing w:line="578" w:lineRule="exact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最高得分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78" w:lineRule="exact"/>
              <w:rPr>
                <w:sz w:val="24"/>
              </w:rPr>
            </w:pPr>
            <w:r>
              <w:rPr>
                <w:sz w:val="24"/>
              </w:rPr>
              <w:t>人员实力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技术负责人具</w:t>
            </w:r>
            <w:r>
              <w:rPr>
                <w:rFonts w:hint="eastAsia"/>
                <w:sz w:val="24"/>
              </w:rPr>
              <w:t>工程专业</w:t>
            </w:r>
            <w:r>
              <w:rPr>
                <w:sz w:val="24"/>
              </w:rPr>
              <w:t>中级或以上职称得4分。</w:t>
            </w:r>
          </w:p>
          <w:p>
            <w:pPr>
              <w:widowControl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注：提供复印件加盖公章。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除项目负责人1名、技术负责人1名外，须配备施工员1名，安全员1名，质量员1名，资料员1名。</w:t>
            </w:r>
            <w:r>
              <w:rPr>
                <w:rFonts w:hint="eastAsia"/>
                <w:sz w:val="24"/>
              </w:rPr>
              <w:t>满足</w:t>
            </w:r>
            <w:r>
              <w:rPr>
                <w:sz w:val="24"/>
              </w:rPr>
              <w:t>人员配备齐全得6分，否则不得分。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注：</w:t>
            </w:r>
            <w:r>
              <w:rPr>
                <w:color w:val="000000"/>
                <w:sz w:val="24"/>
              </w:rPr>
              <w:t>提供相关岗位</w:t>
            </w:r>
            <w:r>
              <w:rPr>
                <w:rFonts w:hint="eastAsia"/>
                <w:color w:val="000000"/>
                <w:sz w:val="24"/>
              </w:rPr>
              <w:t>资质</w:t>
            </w:r>
            <w:r>
              <w:rPr>
                <w:color w:val="000000"/>
                <w:sz w:val="24"/>
              </w:rPr>
              <w:t>证书</w:t>
            </w:r>
            <w:r>
              <w:rPr>
                <w:rFonts w:hint="eastAsia"/>
                <w:color w:val="000000"/>
                <w:sz w:val="24"/>
              </w:rPr>
              <w:t>、身份证、毕业证</w:t>
            </w:r>
            <w:r>
              <w:rPr>
                <w:color w:val="000000"/>
                <w:sz w:val="24"/>
              </w:rPr>
              <w:t>及人员2023年近一个月社保复印件加盖公章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color w:val="000000"/>
                <w:sz w:val="24"/>
              </w:rPr>
              <w:t>证书复印件需加盖公章，证书过期正在受理的需提供第三方机构认证的相关凭证，无以上证明材料不得分</w:t>
            </w:r>
            <w:r>
              <w:rPr>
                <w:sz w:val="24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业绩</w:t>
            </w:r>
          </w:p>
        </w:tc>
        <w:tc>
          <w:tcPr>
            <w:tcW w:w="6520" w:type="dxa"/>
            <w:vAlign w:val="center"/>
          </w:tcPr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A.承担类似工程（壹佰万元以下伍拾万元以上的工程合同壹个及以上得8分）</w:t>
            </w:r>
          </w:p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B.承担类似工程（伍拾万元以下贰拾万元以上的工程合同壹个及以上得6分）</w:t>
            </w:r>
          </w:p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C.承担类似工程（贰拾万元以下拾万元以上得工程合同壹个及以上得4分）</w:t>
            </w:r>
          </w:p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D.承担类似工程（拾万元以下得工程合同壹个及以上得2分）</w:t>
            </w:r>
          </w:p>
          <w:p>
            <w:pPr>
              <w:snapToGrid w:val="0"/>
              <w:spacing w:line="320" w:lineRule="exact"/>
            </w:pPr>
            <w:r>
              <w:rPr>
                <w:rFonts w:hint="eastAsia"/>
                <w:sz w:val="24"/>
              </w:rPr>
              <w:t>注：施工企业业绩以合同签订时间为准，必须是近三年的，业绩必须有施工合同（复印件并盖章）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2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投标文件的规范性</w:t>
            </w:r>
          </w:p>
        </w:tc>
        <w:tc>
          <w:tcPr>
            <w:tcW w:w="6520" w:type="dxa"/>
            <w:vAlign w:val="center"/>
          </w:tcPr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投标文件的编制符合招标文件的规定，装订整齐、编制有目录和页码，无排序混乱和缺篇少页得2分；有一项细微偏差扣0.5分，直至该项分值扣完为止。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2分</w:t>
            </w:r>
          </w:p>
        </w:tc>
      </w:tr>
    </w:tbl>
    <w:p>
      <w:pPr>
        <w:spacing w:line="578" w:lineRule="exact"/>
        <w:ind w:firstLine="640" w:firstLineChars="200"/>
        <w:outlineLvl w:val="1"/>
        <w:rPr>
          <w:sz w:val="24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技术</w:t>
      </w:r>
      <w:r>
        <w:rPr>
          <w:rFonts w:eastAsia="黑体"/>
          <w:sz w:val="32"/>
          <w:szCs w:val="32"/>
        </w:rPr>
        <w:t>部分（</w:t>
      </w:r>
      <w:r>
        <w:rPr>
          <w:rFonts w:hint="eastAsia" w:eastAsia="黑体"/>
          <w:sz w:val="32"/>
          <w:szCs w:val="32"/>
        </w:rPr>
        <w:t>6</w:t>
      </w:r>
      <w:r>
        <w:rPr>
          <w:rFonts w:eastAsia="黑体"/>
          <w:sz w:val="32"/>
          <w:szCs w:val="32"/>
        </w:rPr>
        <w:t>0分）</w:t>
      </w:r>
    </w:p>
    <w:tbl>
      <w:tblPr>
        <w:tblStyle w:val="6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91"/>
        <w:gridCol w:w="622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9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序号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评审内容</w:t>
            </w:r>
          </w:p>
        </w:tc>
        <w:tc>
          <w:tcPr>
            <w:tcW w:w="6221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评分标准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最高得分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三亚国际游艇中心V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手册制定</w:t>
            </w:r>
          </w:p>
        </w:tc>
        <w:tc>
          <w:tcPr>
            <w:tcW w:w="6221" w:type="dxa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A.主视觉设计美观，与三亚国际游艇中心整体风格相符，V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手册内基本视觉要素完整，满足采购人需要；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分（不含）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主视觉设计效果基本适用，可以满足采购基础需要；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分（不含）-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设计效果一般；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分（不含）-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VIP接待室</w:t>
            </w:r>
            <w:r>
              <w:rPr>
                <w:rFonts w:hint="eastAsia"/>
                <w:sz w:val="24"/>
                <w:lang w:val="en-US" w:eastAsia="zh-CN"/>
              </w:rPr>
              <w:t>设计</w:t>
            </w:r>
            <w:r>
              <w:rPr>
                <w:rFonts w:hint="eastAsia"/>
                <w:sz w:val="24"/>
              </w:rPr>
              <w:t>方案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方案设计与建筑风格协调</w:t>
            </w:r>
            <w:r>
              <w:rPr>
                <w:sz w:val="24"/>
              </w:rPr>
              <w:t>，适用性强，思路清晰，内容全面，能够根据实际情况制订，满足采购人的需要，考虑问题周全，实施过程务实，各项指标均能完成；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分（不含）-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分（含）；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方案设计</w:t>
            </w:r>
            <w:r>
              <w:rPr>
                <w:sz w:val="24"/>
              </w:rPr>
              <w:t>基本能够满足采购需要，操作性不强；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方案设计</w:t>
            </w:r>
            <w:r>
              <w:rPr>
                <w:sz w:val="24"/>
              </w:rPr>
              <w:t>不合理；0（ 不含）-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馆内其他装饰</w:t>
            </w:r>
            <w:r>
              <w:rPr>
                <w:rFonts w:hint="eastAsia"/>
                <w:sz w:val="24"/>
              </w:rPr>
              <w:t>设计</w:t>
            </w:r>
            <w:r>
              <w:rPr>
                <w:rFonts w:hint="eastAsia"/>
                <w:sz w:val="24"/>
                <w:lang w:val="en-US" w:eastAsia="zh-CN"/>
              </w:rPr>
              <w:t>方案</w:t>
            </w:r>
          </w:p>
          <w:p>
            <w:pPr>
              <w:widowControl/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（馆内指示标识、办公室落位图、楼层围栏玻璃装饰）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方案设计与建筑风格协调</w:t>
            </w:r>
            <w:r>
              <w:rPr>
                <w:sz w:val="24"/>
              </w:rPr>
              <w:t>，适用性强，思路清晰，内容全面，能够根据实际情况制订，满足采购人的需要，考虑问题周全，实施过程务实，各项指标均能完成；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分（不含）-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分（含）；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方案设计</w:t>
            </w:r>
            <w:r>
              <w:rPr>
                <w:sz w:val="24"/>
              </w:rPr>
              <w:t>基本能够满足采购需要，操作性不强；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方案设计</w:t>
            </w:r>
            <w:r>
              <w:rPr>
                <w:sz w:val="24"/>
              </w:rPr>
              <w:t>不合理；0（ 不含）-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施工方案与技术措施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A.施工方案与技术措施科学合理，适用性强，思路清晰，内容全面，能够根据实际情况制订，满足采购人的需要，考虑问题周全，实施过程务实，各项指标均能完成；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分（不含）-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分（含）；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B.施工方案与技术措施基本能够满足采购需要，操作性不强；</w:t>
            </w:r>
            <w:r>
              <w:rPr>
                <w:rFonts w:hint="eastAsia"/>
                <w:sz w:val="24"/>
              </w:rPr>
              <w:t>2分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C.施工方案与技术措施不合理；0（ 不含）-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安全管理体系与措施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A.安全管理体系与措施科学合理，适用性强，思路清晰，内容全面，能够根据实际情况制订，满足采购人的需要，考虑问题周全，实施过程务实，各项指标均能完成；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分（不含）-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B.安全管理体系与措施基本能够满足采购需要，操作性不强；</w:t>
            </w:r>
            <w:r>
              <w:rPr>
                <w:rFonts w:hint="eastAsia"/>
                <w:sz w:val="24"/>
              </w:rPr>
              <w:t>2分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C.安全管理体系与措施不合理；0（不含）-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环保管理体系与措施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A.环保管理体系与措施科学合理，适用性强，思路清晰，内容全面，能够根据实际情况制订，满足采购人的需要，考虑问题周全，实施过程务实，各项指标均能完成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分（不含）-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B.环保管理体系与措施基本能够满足采购需要，操作性不强；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C.环保管理体系与措施不合理；0（不含）-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工程进度计划与措施</w:t>
            </w:r>
          </w:p>
        </w:tc>
        <w:tc>
          <w:tcPr>
            <w:tcW w:w="622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A.工程进度计划与措施科学合理，适用性强，思路清晰，内容全面，能够根据实际情况制订，满足采购人的需要，考虑问题周全，实施过程务实，各项指标均能完成分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B.工程进度计划与措施基本能够满足采购需要，操作性不强；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（不含）-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分（含）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C.工程进度计划与措施不合理；0（不含）-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分（含）</w:t>
            </w:r>
          </w:p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</w:t>
            </w:r>
          </w:p>
        </w:tc>
      </w:tr>
    </w:tbl>
    <w:p>
      <w:pPr>
        <w:spacing w:line="578" w:lineRule="exact"/>
      </w:pPr>
    </w:p>
    <w:p>
      <w:pPr>
        <w:spacing w:line="578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xOGE1ZjVhOTk3NjEyMThlZjI3OTk0ZjA2MTEyOWQifQ=="/>
  </w:docVars>
  <w:rsids>
    <w:rsidRoot w:val="00D16F27"/>
    <w:rsid w:val="000670F1"/>
    <w:rsid w:val="00097010"/>
    <w:rsid w:val="000A29E9"/>
    <w:rsid w:val="000A6E70"/>
    <w:rsid w:val="000D63A5"/>
    <w:rsid w:val="00106D7A"/>
    <w:rsid w:val="00154E16"/>
    <w:rsid w:val="0015590E"/>
    <w:rsid w:val="001818D9"/>
    <w:rsid w:val="00196443"/>
    <w:rsid w:val="001A2CAB"/>
    <w:rsid w:val="001F43B4"/>
    <w:rsid w:val="0030587C"/>
    <w:rsid w:val="00305C41"/>
    <w:rsid w:val="00306AC7"/>
    <w:rsid w:val="0035274C"/>
    <w:rsid w:val="003748CD"/>
    <w:rsid w:val="003A258D"/>
    <w:rsid w:val="003C7C61"/>
    <w:rsid w:val="003F2C44"/>
    <w:rsid w:val="00490EBF"/>
    <w:rsid w:val="004A5BCD"/>
    <w:rsid w:val="004C3FDD"/>
    <w:rsid w:val="004D3F99"/>
    <w:rsid w:val="004E2D04"/>
    <w:rsid w:val="004E60E6"/>
    <w:rsid w:val="005569CC"/>
    <w:rsid w:val="005619B9"/>
    <w:rsid w:val="005D4D5B"/>
    <w:rsid w:val="00643218"/>
    <w:rsid w:val="00707B8D"/>
    <w:rsid w:val="007167C8"/>
    <w:rsid w:val="0073098F"/>
    <w:rsid w:val="007C436D"/>
    <w:rsid w:val="007F2C05"/>
    <w:rsid w:val="0089597D"/>
    <w:rsid w:val="008961E6"/>
    <w:rsid w:val="0092289A"/>
    <w:rsid w:val="009361F7"/>
    <w:rsid w:val="009369F9"/>
    <w:rsid w:val="009C7326"/>
    <w:rsid w:val="00A92AEF"/>
    <w:rsid w:val="00AB6CA6"/>
    <w:rsid w:val="00AD3FE2"/>
    <w:rsid w:val="00B120F5"/>
    <w:rsid w:val="00B4002C"/>
    <w:rsid w:val="00BA6DE2"/>
    <w:rsid w:val="00BB60DD"/>
    <w:rsid w:val="00BB746E"/>
    <w:rsid w:val="00BD4A06"/>
    <w:rsid w:val="00C12253"/>
    <w:rsid w:val="00C46B67"/>
    <w:rsid w:val="00C55962"/>
    <w:rsid w:val="00D16F27"/>
    <w:rsid w:val="00DB1707"/>
    <w:rsid w:val="00DE5F1D"/>
    <w:rsid w:val="00DF5348"/>
    <w:rsid w:val="00E06A74"/>
    <w:rsid w:val="00E26F61"/>
    <w:rsid w:val="00E554CA"/>
    <w:rsid w:val="00E574AA"/>
    <w:rsid w:val="00ED4A29"/>
    <w:rsid w:val="00F02977"/>
    <w:rsid w:val="00F26AEB"/>
    <w:rsid w:val="00F3588F"/>
    <w:rsid w:val="00FB07BD"/>
    <w:rsid w:val="00FF032A"/>
    <w:rsid w:val="00FF0A37"/>
    <w:rsid w:val="01F03690"/>
    <w:rsid w:val="032625F6"/>
    <w:rsid w:val="0DF9388B"/>
    <w:rsid w:val="1C5C3A0C"/>
    <w:rsid w:val="1D087167"/>
    <w:rsid w:val="226F5814"/>
    <w:rsid w:val="2ABB7D9A"/>
    <w:rsid w:val="2D3E1E83"/>
    <w:rsid w:val="2E295219"/>
    <w:rsid w:val="31E24650"/>
    <w:rsid w:val="36F668C1"/>
    <w:rsid w:val="38ED6AB8"/>
    <w:rsid w:val="3C7D36D0"/>
    <w:rsid w:val="3ED454B4"/>
    <w:rsid w:val="46DF72EE"/>
    <w:rsid w:val="4B105519"/>
    <w:rsid w:val="4DFE7F43"/>
    <w:rsid w:val="60B115FD"/>
    <w:rsid w:val="64F90675"/>
    <w:rsid w:val="6E5B4816"/>
    <w:rsid w:val="6E66064D"/>
    <w:rsid w:val="7E9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1872</Words>
  <Characters>1954</Characters>
  <Lines>19</Lines>
  <Paragraphs>5</Paragraphs>
  <TotalTime>49</TotalTime>
  <ScaleCrop>false</ScaleCrop>
  <LinksUpToDate>false</LinksUpToDate>
  <CharactersWithSpaces>1957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2023-08-07T07:46:00Z</dcterms:created>
  <dc:creator>lxh</dc:creator>
  <cp:lastModifiedBy>IH</cp:lastModifiedBy>
  <cp:lastPrinted>2023-09-05T00:52:21Z</cp:lastPrinted>
  <dcterms:modified xsi:type="dcterms:W3CDTF">2023-09-05T03:06:42Z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7FE32471AB6B4DE899919733EAD381CD_13</vt:lpwstr>
  </property>
</Properties>
</file>