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600" w:lineRule="exact"/>
        <w:jc w:val="left"/>
        <w:rPr>
          <w:rFonts w:ascii="黑体" w:hAnsi="黑体" w:eastAsia="黑体"/>
          <w:b w:val="0"/>
          <w:bCs/>
          <w:sz w:val="32"/>
          <w:szCs w:val="32"/>
        </w:rPr>
      </w:pPr>
      <w:bookmarkStart w:id="0" w:name="_Hlk108508436"/>
      <w:r>
        <w:rPr>
          <w:rFonts w:hint="eastAsia" w:ascii="黑体" w:hAnsi="黑体" w:eastAsia="黑体"/>
          <w:b w:val="0"/>
          <w:bCs/>
          <w:sz w:val="32"/>
          <w:szCs w:val="32"/>
        </w:rPr>
        <w:t>附件1</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三亚国际游艇中心</w:t>
      </w:r>
      <w:bookmarkEnd w:id="0"/>
      <w:r>
        <w:rPr>
          <w:rFonts w:hint="eastAsia" w:ascii="方正小标宋简体" w:eastAsia="方正小标宋简体"/>
          <w:sz w:val="44"/>
          <w:szCs w:val="44"/>
        </w:rPr>
        <w:t>试运营展示季</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媒体推广方案项目需求说明书</w:t>
      </w:r>
    </w:p>
    <w:p>
      <w:pPr>
        <w:spacing w:line="578" w:lineRule="exact"/>
        <w:jc w:val="center"/>
        <w:rPr>
          <w:rFonts w:ascii="仿宋_GB2312" w:hAnsi="仿宋_GB2312" w:eastAsia="仿宋_GB2312" w:cs="仿宋_GB2312"/>
          <w:b/>
          <w:bCs/>
          <w:sz w:val="32"/>
          <w:szCs w:val="32"/>
        </w:rPr>
      </w:pPr>
    </w:p>
    <w:p>
      <w:pPr>
        <w:numPr>
          <w:ilvl w:val="0"/>
          <w:numId w:val="1"/>
        </w:numPr>
        <w:spacing w:line="578" w:lineRule="exact"/>
        <w:ind w:firstLine="640" w:firstLineChars="200"/>
        <w:rPr>
          <w:rFonts w:ascii="黑体" w:hAnsi="黑体" w:eastAsia="黑体" w:cs="黑体"/>
          <w:sz w:val="32"/>
          <w:szCs w:val="32"/>
        </w:rPr>
      </w:pPr>
      <w:r>
        <w:rPr>
          <w:rFonts w:hint="eastAsia" w:ascii="黑体" w:hAnsi="黑体" w:eastAsia="黑体" w:cs="黑体"/>
          <w:sz w:val="32"/>
          <w:szCs w:val="32"/>
        </w:rPr>
        <w:t>项目概述</w:t>
      </w:r>
    </w:p>
    <w:p>
      <w:pPr>
        <w:spacing w:line="578"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为</w:t>
      </w:r>
      <w:r>
        <w:rPr>
          <w:rFonts w:hint="eastAsia" w:ascii="Times New Roman" w:hAnsi="Times New Roman" w:eastAsia="仿宋_GB2312" w:cs="Times New Roman"/>
          <w:bCs/>
          <w:sz w:val="32"/>
          <w:szCs w:val="32"/>
        </w:rPr>
        <w:t>了三亚国际游艇中心在试运营阶段树立品牌形象，将中心推向更广泛的客户群体，拟期望通过与专业的媒体广告合作，通过专业的媒体策划与传播执行，打造游艇中心的品牌认知度。以吸引更多游艇潜在客户，增加市场份额。媒体推广方案宣传周期为三亚国际游艇中心试运营期间（2</w:t>
      </w:r>
      <w:r>
        <w:rPr>
          <w:rFonts w:ascii="Times New Roman" w:hAnsi="Times New Roman" w:eastAsia="仿宋_GB2312" w:cs="Times New Roman"/>
          <w:bCs/>
          <w:sz w:val="32"/>
          <w:szCs w:val="32"/>
        </w:rPr>
        <w:t>023</w:t>
      </w:r>
      <w:r>
        <w:rPr>
          <w:rFonts w:hint="eastAsia" w:ascii="Times New Roman" w:hAnsi="Times New Roman" w:eastAsia="仿宋_GB2312" w:cs="Times New Roman"/>
          <w:bCs/>
          <w:sz w:val="32"/>
          <w:szCs w:val="32"/>
        </w:rPr>
        <w:t>年9月-</w:t>
      </w:r>
      <w:r>
        <w:rPr>
          <w:rFonts w:ascii="Times New Roman" w:hAnsi="Times New Roman" w:eastAsia="仿宋_GB2312" w:cs="Times New Roman"/>
          <w:bCs/>
          <w:sz w:val="32"/>
          <w:szCs w:val="32"/>
        </w:rPr>
        <w:t>2024</w:t>
      </w:r>
      <w:r>
        <w:rPr>
          <w:rFonts w:hint="eastAsia" w:ascii="Times New Roman" w:hAnsi="Times New Roman" w:eastAsia="仿宋_GB2312" w:cs="Times New Roman"/>
          <w:bCs/>
          <w:sz w:val="32"/>
          <w:szCs w:val="32"/>
        </w:rPr>
        <w:t>年3月3</w:t>
      </w:r>
      <w:r>
        <w:rPr>
          <w:rFonts w:ascii="Times New Roman" w:hAnsi="Times New Roman" w:eastAsia="仿宋_GB2312" w:cs="Times New Roman"/>
          <w:bCs/>
          <w:sz w:val="32"/>
          <w:szCs w:val="32"/>
        </w:rPr>
        <w:t>1</w:t>
      </w:r>
      <w:r>
        <w:rPr>
          <w:rFonts w:hint="eastAsia" w:ascii="Times New Roman" w:hAnsi="Times New Roman" w:eastAsia="仿宋_GB2312" w:cs="Times New Roman"/>
          <w:bCs/>
          <w:sz w:val="32"/>
          <w:szCs w:val="32"/>
        </w:rPr>
        <w:t>日）。</w:t>
      </w:r>
    </w:p>
    <w:p>
      <w:pPr>
        <w:spacing w:line="57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sz w:val="32"/>
          <w:szCs w:val="32"/>
        </w:rPr>
        <w:t>本次采购项目为</w:t>
      </w:r>
      <w:r>
        <w:rPr>
          <w:rFonts w:hint="eastAsia" w:ascii="Times New Roman" w:hAnsi="Times New Roman" w:eastAsia="仿宋_GB2312" w:cs="Times New Roman"/>
          <w:sz w:val="32"/>
          <w:szCs w:val="32"/>
        </w:rPr>
        <w:t>三亚国际游艇中心试运营展示季媒体推广方案项目</w:t>
      </w:r>
      <w:r>
        <w:rPr>
          <w:rFonts w:ascii="Times New Roman" w:hAnsi="Times New Roman" w:eastAsia="仿宋_GB2312" w:cs="Times New Roman"/>
          <w:bCs/>
          <w:sz w:val="32"/>
          <w:szCs w:val="32"/>
        </w:rPr>
        <w:t>，项目采购人为</w:t>
      </w:r>
      <w:r>
        <w:rPr>
          <w:rFonts w:hint="eastAsia" w:ascii="Times New Roman" w:hAnsi="Times New Roman" w:eastAsia="仿宋_GB2312" w:cs="Times New Roman"/>
          <w:sz w:val="32"/>
          <w:szCs w:val="32"/>
        </w:rPr>
        <w:t>海南国际游艇交易有限公司</w:t>
      </w:r>
      <w:r>
        <w:rPr>
          <w:rFonts w:ascii="Times New Roman" w:hAnsi="Times New Roman" w:eastAsia="仿宋_GB2312" w:cs="Times New Roman"/>
          <w:bCs/>
          <w:sz w:val="32"/>
          <w:szCs w:val="32"/>
        </w:rPr>
        <w:t>。</w:t>
      </w:r>
    </w:p>
    <w:p>
      <w:pPr>
        <w:numPr>
          <w:ilvl w:val="0"/>
          <w:numId w:val="1"/>
        </w:numPr>
        <w:spacing w:line="57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项目招标内容</w:t>
      </w:r>
    </w:p>
    <w:tbl>
      <w:tblPr>
        <w:tblStyle w:val="8"/>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048"/>
        <w:gridCol w:w="2012"/>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pacing w:line="578" w:lineRule="exact"/>
              <w:jc w:val="center"/>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采购内容</w:t>
            </w:r>
          </w:p>
        </w:tc>
        <w:tc>
          <w:tcPr>
            <w:tcW w:w="2048" w:type="dxa"/>
            <w:vAlign w:val="center"/>
          </w:tcPr>
          <w:p>
            <w:pPr>
              <w:spacing w:line="578"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数量</w:t>
            </w:r>
          </w:p>
        </w:tc>
        <w:tc>
          <w:tcPr>
            <w:tcW w:w="2012" w:type="dxa"/>
            <w:vAlign w:val="center"/>
          </w:tcPr>
          <w:p>
            <w:pPr>
              <w:spacing w:line="578" w:lineRule="exact"/>
              <w:jc w:val="center"/>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服务期限</w:t>
            </w:r>
          </w:p>
        </w:tc>
        <w:tc>
          <w:tcPr>
            <w:tcW w:w="2177" w:type="dxa"/>
            <w:vAlign w:val="center"/>
          </w:tcPr>
          <w:p>
            <w:pPr>
              <w:spacing w:line="578" w:lineRule="exact"/>
              <w:jc w:val="center"/>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报价最高限价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jc w:val="center"/>
        </w:trPr>
        <w:tc>
          <w:tcPr>
            <w:tcW w:w="1980" w:type="dxa"/>
            <w:vAlign w:val="center"/>
          </w:tcPr>
          <w:p>
            <w:pPr>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三亚国际游艇中心试运营展示季媒体推广方案及后续宣传执行</w:t>
            </w:r>
          </w:p>
        </w:tc>
        <w:tc>
          <w:tcPr>
            <w:tcW w:w="2048" w:type="dxa"/>
            <w:vAlign w:val="center"/>
          </w:tcPr>
          <w:p>
            <w:pPr>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1套方案（含方案前期策划、后期图文编辑与发布、短视频编辑与发布等。）</w:t>
            </w:r>
          </w:p>
        </w:tc>
        <w:tc>
          <w:tcPr>
            <w:tcW w:w="2012" w:type="dxa"/>
            <w:vAlign w:val="center"/>
          </w:tcPr>
          <w:p>
            <w:pPr>
              <w:jc w:val="center"/>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半年</w:t>
            </w:r>
          </w:p>
        </w:tc>
        <w:tc>
          <w:tcPr>
            <w:tcW w:w="2177" w:type="dxa"/>
            <w:vAlign w:val="center"/>
          </w:tcPr>
          <w:p>
            <w:pPr>
              <w:jc w:val="center"/>
              <w:rPr>
                <w:rFonts w:ascii="仿宋_GB2312" w:hAnsi="Times New Roman" w:eastAsia="仿宋_GB2312" w:cs="Times New Roman"/>
                <w:bCs/>
                <w:sz w:val="28"/>
                <w:szCs w:val="28"/>
              </w:rPr>
            </w:pPr>
            <w:r>
              <w:rPr>
                <w:rFonts w:ascii="仿宋_GB2312" w:hAnsi="Times New Roman" w:eastAsia="仿宋_GB2312" w:cs="Times New Roman"/>
                <w:bCs/>
                <w:sz w:val="28"/>
                <w:szCs w:val="28"/>
              </w:rPr>
              <w:t>2</w:t>
            </w:r>
            <w:r>
              <w:rPr>
                <w:rFonts w:hint="eastAsia" w:ascii="仿宋_GB2312" w:hAnsi="Times New Roman" w:eastAsia="仿宋_GB2312" w:cs="Times New Roman"/>
                <w:bCs/>
                <w:sz w:val="28"/>
                <w:szCs w:val="28"/>
              </w:rPr>
              <w:t>0万（含增值税）</w:t>
            </w:r>
          </w:p>
        </w:tc>
      </w:tr>
    </w:tbl>
    <w:p>
      <w:pPr>
        <w:numPr>
          <w:ilvl w:val="0"/>
          <w:numId w:val="1"/>
        </w:numPr>
        <w:spacing w:line="57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项目采购要求</w:t>
      </w:r>
    </w:p>
    <w:p>
      <w:pPr>
        <w:spacing w:line="578" w:lineRule="exact"/>
        <w:ind w:left="420" w:left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（一）投标人应具备的资格要求：</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.投标人负责人为同一人或者存在直接控股、管理关系的不同供应商，不得同时参加本项目投标活动</w:t>
      </w:r>
      <w:r>
        <w:rPr>
          <w:rFonts w:hint="eastAsia" w:ascii="Times New Roman" w:hAnsi="Times New Roman" w:eastAsia="仿宋_GB2312" w:cs="Times New Roman"/>
          <w:sz w:val="32"/>
          <w:szCs w:val="32"/>
        </w:rPr>
        <w:t>；</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参加采购活动前三年内在经营活动中没有重大违法记录和不良信用记录。对在“信用中国”网站(www.creditchina.gov.cn)、中国政府采购(www.ccgp.gov.cn)等渠道列入失信被执行人、重大税收违法案件当事人名单、政府采购严重违法失信行为记录名单的供应商，将被拒绝参与本次采购活动</w:t>
      </w:r>
      <w:r>
        <w:rPr>
          <w:rFonts w:hint="eastAsia" w:ascii="Times New Roman" w:hAnsi="Times New Roman" w:eastAsia="仿宋_GB2312" w:cs="Times New Roman"/>
          <w:sz w:val="32"/>
          <w:szCs w:val="32"/>
        </w:rPr>
        <w:t>；</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.具有独立法人资格或其分支机构（提供营业执照或法人登记证书。若为分支机构投标，则应出具机构总部针对本项目的授权函）</w:t>
      </w:r>
      <w:r>
        <w:rPr>
          <w:rFonts w:hint="eastAsia" w:ascii="Times New Roman" w:hAnsi="Times New Roman" w:eastAsia="仿宋_GB2312" w:cs="Times New Roman"/>
          <w:sz w:val="32"/>
          <w:szCs w:val="32"/>
        </w:rPr>
        <w:t>；</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近</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年内具备商业体、游艇游船、文化旅游、政府活动等方面媒体推广项目的成功案例。</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5.经营范围需具有文化传播资质许可。比如：市场营销策划，网络营销策划，品牌宣传推广，广告制作，广告发布或项目策划与公关服务等。</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.本项目不接受联合体投标。</w:t>
      </w:r>
    </w:p>
    <w:p>
      <w:pPr>
        <w:spacing w:line="578" w:lineRule="exact"/>
        <w:ind w:left="420" w:left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w:t>
      </w:r>
      <w:r>
        <w:rPr>
          <w:rFonts w:ascii="楷体_GB2312" w:hAnsi="Times New Roman" w:eastAsia="楷体_GB2312" w:cs="Times New Roman"/>
          <w:sz w:val="32"/>
          <w:szCs w:val="32"/>
        </w:rPr>
        <w:t>投标</w:t>
      </w:r>
      <w:r>
        <w:rPr>
          <w:rFonts w:hint="eastAsia" w:ascii="楷体_GB2312" w:hAnsi="Times New Roman" w:eastAsia="楷体_GB2312" w:cs="Times New Roman"/>
          <w:sz w:val="32"/>
          <w:szCs w:val="32"/>
        </w:rPr>
        <w:t>提供方案要求：</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包括但不限于，针对试运营期间的三亚国际游艇中心推广策略，整体宣传节奏布局及该布局下的每月推广主题及简要内容概括，每月视频发布主题及简要脚本，不同推广阶段着重运用的媒体工具及媒体平台等内容的完整推广方案。</w:t>
      </w:r>
    </w:p>
    <w:p>
      <w:pPr>
        <w:spacing w:line="57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旗下拥有成熟媒体平台进行内容发布，达到宣传推广效果。</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3.设定合理可量化的媒体传播效果，比如图文浏览量，视频播放量等。</w:t>
      </w:r>
    </w:p>
    <w:p>
      <w:pPr>
        <w:numPr>
          <w:ilvl w:val="0"/>
          <w:numId w:val="1"/>
        </w:numPr>
        <w:spacing w:line="57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评分方案</w:t>
      </w:r>
    </w:p>
    <w:p>
      <w:pPr>
        <w:spacing w:line="578" w:lineRule="exact"/>
        <w:ind w:left="640"/>
        <w:rPr>
          <w:rFonts w:ascii="Times New Roman" w:hAnsi="Times New Roman" w:eastAsia="黑体" w:cs="Times New Roman"/>
          <w:sz w:val="32"/>
          <w:szCs w:val="32"/>
        </w:rPr>
      </w:pPr>
      <w:r>
        <w:rPr>
          <w:rFonts w:ascii="Times New Roman" w:hAnsi="Times New Roman" w:eastAsia="仿宋_GB2312" w:cs="Times New Roman"/>
          <w:kern w:val="0"/>
          <w:sz w:val="32"/>
          <w:szCs w:val="32"/>
        </w:rPr>
        <w:t>详见附件2评分说明</w:t>
      </w:r>
      <w:r>
        <w:rPr>
          <w:rFonts w:hint="eastAsia" w:ascii="Times New Roman" w:hAnsi="Times New Roman" w:eastAsia="仿宋_GB2312" w:cs="Times New Roman"/>
          <w:kern w:val="0"/>
          <w:sz w:val="32"/>
          <w:szCs w:val="32"/>
        </w:rPr>
        <w:t>。</w:t>
      </w:r>
    </w:p>
    <w:p>
      <w:pPr>
        <w:numPr>
          <w:ilvl w:val="0"/>
          <w:numId w:val="1"/>
        </w:numPr>
        <w:spacing w:line="57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项目控制价</w:t>
      </w:r>
    </w:p>
    <w:p>
      <w:pPr>
        <w:pStyle w:val="12"/>
        <w:spacing w:after="0" w:line="578" w:lineRule="exact"/>
        <w:ind w:firstLine="640"/>
        <w:rPr>
          <w:rFonts w:ascii="Times New Roman" w:hAnsi="Times New Roman" w:eastAsia="黑体"/>
          <w:sz w:val="32"/>
          <w:szCs w:val="32"/>
        </w:rPr>
      </w:pPr>
      <w:r>
        <w:rPr>
          <w:rFonts w:ascii="Times New Roman" w:hAnsi="Times New Roman" w:eastAsia="仿宋_GB2312"/>
          <w:sz w:val="32"/>
          <w:szCs w:val="32"/>
        </w:rPr>
        <w:t>项</w:t>
      </w:r>
      <w:r>
        <w:rPr>
          <w:rFonts w:ascii="Times New Roman" w:hAnsi="Times New Roman" w:eastAsia="仿宋_GB2312"/>
          <w:bCs/>
          <w:kern w:val="2"/>
          <w:sz w:val="32"/>
          <w:szCs w:val="32"/>
        </w:rPr>
        <w:t>目控制价为20</w:t>
      </w:r>
      <w:r>
        <w:rPr>
          <w:rFonts w:hint="eastAsia" w:ascii="Times New Roman" w:hAnsi="Times New Roman" w:eastAsia="仿宋_GB2312"/>
          <w:bCs/>
          <w:kern w:val="2"/>
          <w:sz w:val="32"/>
          <w:szCs w:val="32"/>
        </w:rPr>
        <w:t>万元（含增值税）</w:t>
      </w:r>
      <w:r>
        <w:rPr>
          <w:rFonts w:ascii="Times New Roman" w:hAnsi="Times New Roman" w:eastAsia="仿宋_GB2312"/>
          <w:sz w:val="32"/>
          <w:szCs w:val="32"/>
        </w:rPr>
        <w:t>。</w:t>
      </w:r>
    </w:p>
    <w:p>
      <w:pPr>
        <w:numPr>
          <w:ilvl w:val="0"/>
          <w:numId w:val="1"/>
        </w:numPr>
        <w:spacing w:line="578"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评标方法</w:t>
      </w:r>
    </w:p>
    <w:p>
      <w:pPr>
        <w:spacing w:line="57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综合评分</w:t>
      </w:r>
      <w:r>
        <w:rPr>
          <w:rFonts w:hint="eastAsia" w:ascii="Times New Roman" w:hAnsi="Times New Roman" w:eastAsia="仿宋_GB2312" w:cs="Times New Roman"/>
          <w:sz w:val="32"/>
          <w:szCs w:val="32"/>
        </w:rPr>
        <w:t>法</w:t>
      </w:r>
    </w:p>
    <w:p>
      <w:pPr>
        <w:numPr>
          <w:ilvl w:val="0"/>
          <w:numId w:val="1"/>
        </w:numPr>
        <w:spacing w:line="57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服务需求时间</w:t>
      </w:r>
    </w:p>
    <w:p>
      <w:pPr>
        <w:spacing w:line="578"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暂定服务期</w:t>
      </w:r>
      <w:r>
        <w:rPr>
          <w:rFonts w:hint="eastAsia" w:ascii="Times New Roman" w:hAnsi="Times New Roman" w:eastAsia="仿宋_GB2312" w:cs="Times New Roman"/>
          <w:bCs/>
          <w:sz w:val="32"/>
          <w:szCs w:val="32"/>
        </w:rPr>
        <w:t>半</w:t>
      </w:r>
      <w:r>
        <w:rPr>
          <w:rFonts w:ascii="Times New Roman" w:hAnsi="Times New Roman" w:eastAsia="仿宋_GB2312" w:cs="Times New Roman"/>
          <w:bCs/>
          <w:sz w:val="32"/>
          <w:szCs w:val="32"/>
        </w:rPr>
        <w:t>年，自合同签订生效之日起算。</w:t>
      </w:r>
    </w:p>
    <w:p>
      <w:pPr>
        <w:numPr>
          <w:ilvl w:val="0"/>
          <w:numId w:val="1"/>
        </w:numPr>
        <w:spacing w:line="57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提供材料</w:t>
      </w:r>
    </w:p>
    <w:p>
      <w:pPr>
        <w:spacing w:line="578"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（一）营业执照证明材料；</w:t>
      </w:r>
    </w:p>
    <w:p>
      <w:pPr>
        <w:spacing w:line="578"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（二）具备履行合同所必须的</w:t>
      </w:r>
      <w:r>
        <w:rPr>
          <w:rFonts w:hint="eastAsia" w:ascii="Times New Roman" w:hAnsi="Times New Roman" w:eastAsia="仿宋_GB2312" w:cs="Times New Roman"/>
          <w:bCs/>
          <w:sz w:val="32"/>
          <w:szCs w:val="32"/>
        </w:rPr>
        <w:t>类似项目经验证明</w:t>
      </w:r>
      <w:r>
        <w:rPr>
          <w:rFonts w:ascii="Times New Roman" w:hAnsi="Times New Roman" w:eastAsia="仿宋_GB2312" w:cs="Times New Roman"/>
          <w:bCs/>
          <w:sz w:val="32"/>
          <w:szCs w:val="32"/>
        </w:rPr>
        <w:t>；</w:t>
      </w:r>
    </w:p>
    <w:p>
      <w:pPr>
        <w:spacing w:line="578"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（三）针对本项目的P</w:t>
      </w:r>
      <w:r>
        <w:rPr>
          <w:rFonts w:ascii="Times New Roman" w:hAnsi="Times New Roman" w:eastAsia="仿宋_GB2312" w:cs="Times New Roman"/>
          <w:bCs/>
          <w:sz w:val="32"/>
          <w:szCs w:val="32"/>
        </w:rPr>
        <w:t>PT</w:t>
      </w:r>
      <w:r>
        <w:rPr>
          <w:rFonts w:hint="eastAsia" w:ascii="Times New Roman" w:hAnsi="Times New Roman" w:eastAsia="仿宋_GB2312" w:cs="Times New Roman"/>
          <w:bCs/>
          <w:sz w:val="32"/>
          <w:szCs w:val="32"/>
        </w:rPr>
        <w:t>方案（方案需包含一个简洁明了的排期展示整体宣传节奏，再配合图文解释各阶段内容）；</w:t>
      </w:r>
    </w:p>
    <w:p>
      <w:pPr>
        <w:spacing w:line="578"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五</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项目报价</w:t>
      </w:r>
      <w:r>
        <w:rPr>
          <w:rFonts w:ascii="Times New Roman" w:hAnsi="Times New Roman" w:eastAsia="仿宋_GB2312" w:cs="Times New Roman"/>
          <w:bCs/>
          <w:sz w:val="32"/>
          <w:szCs w:val="32"/>
        </w:rPr>
        <w:t>；</w:t>
      </w:r>
    </w:p>
    <w:p>
      <w:pPr>
        <w:spacing w:line="578"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六</w:t>
      </w:r>
      <w:r>
        <w:rPr>
          <w:rFonts w:ascii="Times New Roman" w:hAnsi="Times New Roman" w:eastAsia="仿宋_GB2312" w:cs="Times New Roman"/>
          <w:bCs/>
          <w:sz w:val="32"/>
          <w:szCs w:val="32"/>
        </w:rPr>
        <w:t>）供应商诚信履约承诺函；</w:t>
      </w:r>
      <w:bookmarkStart w:id="1" w:name="_GoBack"/>
      <w:bookmarkEnd w:id="1"/>
    </w:p>
    <w:p>
      <w:pPr>
        <w:spacing w:line="578"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（七）其他应提供的材料。</w:t>
      </w:r>
    </w:p>
    <w:p>
      <w:pPr>
        <w:spacing w:line="578"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响应文件以</w:t>
      </w:r>
      <w:r>
        <w:rPr>
          <w:rFonts w:hint="eastAsia" w:ascii="Times New Roman" w:hAnsi="Times New Roman" w:eastAsia="仿宋_GB2312" w:cs="Times New Roman"/>
          <w:bCs/>
          <w:sz w:val="32"/>
          <w:szCs w:val="32"/>
        </w:rPr>
        <w:t>纸质</w:t>
      </w:r>
      <w:r>
        <w:rPr>
          <w:rFonts w:ascii="Times New Roman" w:hAnsi="Times New Roman" w:eastAsia="仿宋_GB2312" w:cs="Times New Roman"/>
          <w:bCs/>
          <w:sz w:val="32"/>
          <w:szCs w:val="32"/>
        </w:rPr>
        <w:t>形式报送，须加盖公司公章。</w:t>
      </w:r>
    </w:p>
    <w:p>
      <w:pPr>
        <w:numPr>
          <w:ilvl w:val="0"/>
          <w:numId w:val="1"/>
        </w:numPr>
        <w:spacing w:line="578" w:lineRule="exact"/>
        <w:ind w:firstLine="640" w:firstLineChars="200"/>
        <w:rPr>
          <w:rFonts w:ascii="黑体" w:hAnsi="黑体" w:eastAsia="黑体" w:cs="黑体"/>
          <w:sz w:val="32"/>
          <w:szCs w:val="32"/>
        </w:rPr>
      </w:pPr>
      <w:r>
        <w:rPr>
          <w:rFonts w:hint="eastAsia" w:ascii="黑体" w:hAnsi="黑体" w:eastAsia="黑体" w:cs="黑体"/>
          <w:sz w:val="32"/>
          <w:szCs w:val="32"/>
        </w:rPr>
        <w:t>响应文件递交时间及联系方式</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响应文件递交截止时间为202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10月13</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，以快递接收时间为准，逾时不予接收。地址</w:t>
      </w:r>
      <w:r>
        <w:rPr>
          <w:rFonts w:hint="eastAsia" w:ascii="仿宋_GB2312" w:hAnsi="仿宋_GB2312" w:eastAsia="仿宋_GB2312" w:cs="仿宋_GB2312"/>
          <w:sz w:val="32"/>
          <w:szCs w:val="32"/>
          <w:u w:val="single"/>
        </w:rPr>
        <w:t>：</w:t>
      </w:r>
      <w:r>
        <w:rPr>
          <w:rFonts w:hint="eastAsia" w:ascii="Times New Roman" w:hAnsi="Times New Roman" w:eastAsia="仿宋_GB2312" w:cs="Times New Roman"/>
          <w:sz w:val="32"/>
          <w:szCs w:val="32"/>
          <w:u w:val="single"/>
        </w:rPr>
        <w:t>三亚市天涯区南边海路三亚国际游艇港口岸联检中心三楼301室</w:t>
      </w:r>
      <w:r>
        <w:rPr>
          <w:rFonts w:hint="eastAsia" w:ascii="仿宋_GB2312" w:hAnsi="仿宋_GB2312" w:eastAsia="仿宋_GB2312" w:cs="仿宋_GB2312"/>
          <w:sz w:val="32"/>
          <w:szCs w:val="32"/>
          <w:u w:val="single"/>
        </w:rPr>
        <w:t xml:space="preserve"> </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u w:val="single"/>
        </w:rPr>
        <w:t xml:space="preserve"> 卢笛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rPr>
        <w:t xml:space="preserve"> 0898-</w:t>
      </w:r>
      <w:r>
        <w:rPr>
          <w:rFonts w:ascii="仿宋_GB2312" w:hAnsi="仿宋_GB2312" w:eastAsia="仿宋_GB2312" w:cs="仿宋_GB2312"/>
          <w:sz w:val="32"/>
          <w:szCs w:val="32"/>
          <w:u w:val="single"/>
        </w:rPr>
        <w:t xml:space="preserve">88869896 </w:t>
      </w:r>
      <w:r>
        <w:rPr>
          <w:rFonts w:hint="eastAsia" w:ascii="仿宋_GB2312" w:hAnsi="仿宋_GB2312" w:eastAsia="仿宋_GB2312" w:cs="仿宋_GB2312"/>
          <w:sz w:val="32"/>
          <w:szCs w:val="32"/>
        </w:rPr>
        <w:t>。</w:t>
      </w:r>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4007047"/>
    </w:sdtPr>
    <w:sdtContent>
      <w:sdt>
        <w:sdtPr>
          <w:id w:val="1728636285"/>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73DEE0"/>
    <w:multiLevelType w:val="singleLevel"/>
    <w:tmpl w:val="D473DEE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MxOGE1ZjVhOTk3NjEyMThlZjI3OTk0ZjA2MTEyOWQifQ=="/>
  </w:docVars>
  <w:rsids>
    <w:rsidRoot w:val="745437A5"/>
    <w:rsid w:val="000140AF"/>
    <w:rsid w:val="000204F6"/>
    <w:rsid w:val="00083B08"/>
    <w:rsid w:val="000B7374"/>
    <w:rsid w:val="000D24AA"/>
    <w:rsid w:val="000D3B34"/>
    <w:rsid w:val="000E55A4"/>
    <w:rsid w:val="000F36D6"/>
    <w:rsid w:val="000F49F7"/>
    <w:rsid w:val="0014085F"/>
    <w:rsid w:val="0016703D"/>
    <w:rsid w:val="001718A2"/>
    <w:rsid w:val="001908FB"/>
    <w:rsid w:val="0019788D"/>
    <w:rsid w:val="00234584"/>
    <w:rsid w:val="00300271"/>
    <w:rsid w:val="003425C6"/>
    <w:rsid w:val="00356D56"/>
    <w:rsid w:val="00367D89"/>
    <w:rsid w:val="003A11FA"/>
    <w:rsid w:val="003A5E4B"/>
    <w:rsid w:val="003D0AAA"/>
    <w:rsid w:val="0042562B"/>
    <w:rsid w:val="00427B64"/>
    <w:rsid w:val="0047444D"/>
    <w:rsid w:val="004959B4"/>
    <w:rsid w:val="004B50FC"/>
    <w:rsid w:val="004C6A83"/>
    <w:rsid w:val="004E157E"/>
    <w:rsid w:val="004E36B5"/>
    <w:rsid w:val="005257FE"/>
    <w:rsid w:val="0055336C"/>
    <w:rsid w:val="005572EA"/>
    <w:rsid w:val="00580948"/>
    <w:rsid w:val="00597CEC"/>
    <w:rsid w:val="005A41F1"/>
    <w:rsid w:val="005D2A1F"/>
    <w:rsid w:val="005D3F78"/>
    <w:rsid w:val="0063330C"/>
    <w:rsid w:val="006B5843"/>
    <w:rsid w:val="006D2066"/>
    <w:rsid w:val="006E46F9"/>
    <w:rsid w:val="00703164"/>
    <w:rsid w:val="0070531B"/>
    <w:rsid w:val="00716779"/>
    <w:rsid w:val="007416B5"/>
    <w:rsid w:val="00755B12"/>
    <w:rsid w:val="00763B10"/>
    <w:rsid w:val="007C53A2"/>
    <w:rsid w:val="007C53CE"/>
    <w:rsid w:val="007E2E6B"/>
    <w:rsid w:val="007F0ECA"/>
    <w:rsid w:val="008258F9"/>
    <w:rsid w:val="00855112"/>
    <w:rsid w:val="0086360F"/>
    <w:rsid w:val="00886F5B"/>
    <w:rsid w:val="008873E4"/>
    <w:rsid w:val="008A06F2"/>
    <w:rsid w:val="008C35AB"/>
    <w:rsid w:val="008E3A94"/>
    <w:rsid w:val="008F7403"/>
    <w:rsid w:val="00911CE2"/>
    <w:rsid w:val="00937799"/>
    <w:rsid w:val="009634CB"/>
    <w:rsid w:val="00966353"/>
    <w:rsid w:val="00A166A2"/>
    <w:rsid w:val="00A67562"/>
    <w:rsid w:val="00A7227F"/>
    <w:rsid w:val="00A814AE"/>
    <w:rsid w:val="00AB07E5"/>
    <w:rsid w:val="00AF7E61"/>
    <w:rsid w:val="00B12AA2"/>
    <w:rsid w:val="00B810DE"/>
    <w:rsid w:val="00BB314E"/>
    <w:rsid w:val="00BF0C9D"/>
    <w:rsid w:val="00C015EF"/>
    <w:rsid w:val="00C34B38"/>
    <w:rsid w:val="00C36EAF"/>
    <w:rsid w:val="00C86915"/>
    <w:rsid w:val="00CD2147"/>
    <w:rsid w:val="00D07CFB"/>
    <w:rsid w:val="00D15B27"/>
    <w:rsid w:val="00D723B8"/>
    <w:rsid w:val="00D8424E"/>
    <w:rsid w:val="00D907D4"/>
    <w:rsid w:val="00DA0D20"/>
    <w:rsid w:val="00DC11F1"/>
    <w:rsid w:val="00DF17A4"/>
    <w:rsid w:val="00DF4230"/>
    <w:rsid w:val="00DF67E9"/>
    <w:rsid w:val="00E02DB3"/>
    <w:rsid w:val="00E53E3F"/>
    <w:rsid w:val="00E825BB"/>
    <w:rsid w:val="00EB27F7"/>
    <w:rsid w:val="00EE10B2"/>
    <w:rsid w:val="00EE7171"/>
    <w:rsid w:val="00EF4D6B"/>
    <w:rsid w:val="00EF512A"/>
    <w:rsid w:val="00F1225C"/>
    <w:rsid w:val="00F24177"/>
    <w:rsid w:val="00F32D26"/>
    <w:rsid w:val="00F65716"/>
    <w:rsid w:val="00FC02EF"/>
    <w:rsid w:val="00FE0FEE"/>
    <w:rsid w:val="017E5B15"/>
    <w:rsid w:val="04D87339"/>
    <w:rsid w:val="06CF12AA"/>
    <w:rsid w:val="087430AF"/>
    <w:rsid w:val="11745859"/>
    <w:rsid w:val="11F9237B"/>
    <w:rsid w:val="14A45999"/>
    <w:rsid w:val="178607AE"/>
    <w:rsid w:val="18037B45"/>
    <w:rsid w:val="19596C98"/>
    <w:rsid w:val="1999445E"/>
    <w:rsid w:val="1EAE2FC2"/>
    <w:rsid w:val="225300C8"/>
    <w:rsid w:val="25221BD8"/>
    <w:rsid w:val="261C6428"/>
    <w:rsid w:val="28962D5F"/>
    <w:rsid w:val="2A637F2A"/>
    <w:rsid w:val="2D424CB8"/>
    <w:rsid w:val="2E3B1FB0"/>
    <w:rsid w:val="360F0E1E"/>
    <w:rsid w:val="36D44B32"/>
    <w:rsid w:val="3A0F5FA8"/>
    <w:rsid w:val="3A944DCD"/>
    <w:rsid w:val="3B666F88"/>
    <w:rsid w:val="3D195124"/>
    <w:rsid w:val="40040BD9"/>
    <w:rsid w:val="416521F5"/>
    <w:rsid w:val="41EE7590"/>
    <w:rsid w:val="421D5CB0"/>
    <w:rsid w:val="44515548"/>
    <w:rsid w:val="44E70EBC"/>
    <w:rsid w:val="460D36EC"/>
    <w:rsid w:val="486D7A2D"/>
    <w:rsid w:val="4E5318FE"/>
    <w:rsid w:val="4EB21019"/>
    <w:rsid w:val="4FB82301"/>
    <w:rsid w:val="502E52C3"/>
    <w:rsid w:val="544A1442"/>
    <w:rsid w:val="544E219B"/>
    <w:rsid w:val="54EC394E"/>
    <w:rsid w:val="58E52996"/>
    <w:rsid w:val="59B168E5"/>
    <w:rsid w:val="5A363BC4"/>
    <w:rsid w:val="5E6D52A9"/>
    <w:rsid w:val="602B2612"/>
    <w:rsid w:val="612700BF"/>
    <w:rsid w:val="6363317C"/>
    <w:rsid w:val="64F5443F"/>
    <w:rsid w:val="66025186"/>
    <w:rsid w:val="66981A34"/>
    <w:rsid w:val="67BC4BD2"/>
    <w:rsid w:val="694F4380"/>
    <w:rsid w:val="6A4D6E5C"/>
    <w:rsid w:val="6B9C197F"/>
    <w:rsid w:val="6BA53FA0"/>
    <w:rsid w:val="6CA83A4D"/>
    <w:rsid w:val="6F0E068E"/>
    <w:rsid w:val="70B93319"/>
    <w:rsid w:val="72E51995"/>
    <w:rsid w:val="745437A5"/>
    <w:rsid w:val="74B62EA3"/>
    <w:rsid w:val="786D1206"/>
    <w:rsid w:val="78CB66F0"/>
    <w:rsid w:val="79A915D8"/>
    <w:rsid w:val="7C2155B5"/>
    <w:rsid w:val="7D6F53CE"/>
    <w:rsid w:val="7E477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2">
    <w:name w:val="heading 2"/>
    <w:basedOn w:val="1"/>
    <w:next w:val="1"/>
    <w:qFormat/>
    <w:uiPriority w:val="9"/>
    <w:pPr>
      <w:keepNext/>
      <w:keepLines/>
      <w:spacing w:before="100" w:beforeAutospacing="1" w:after="100" w:afterAutospacing="1" w:line="360" w:lineRule="auto"/>
      <w:outlineLvl w:val="1"/>
    </w:pPr>
    <w:rPr>
      <w:rFonts w:ascii="Arial" w:hAnsi="Arial" w:eastAsia="黑体"/>
      <w:b/>
      <w:bCs/>
      <w:sz w:val="36"/>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color w:val="800080"/>
      <w:u w:val="single"/>
    </w:rPr>
  </w:style>
  <w:style w:type="character" w:styleId="11">
    <w:name w:val="Hyperlink"/>
    <w:basedOn w:val="9"/>
    <w:qFormat/>
    <w:uiPriority w:val="0"/>
    <w:rPr>
      <w:color w:val="0000FF"/>
      <w:u w:val="single"/>
    </w:rPr>
  </w:style>
  <w:style w:type="paragraph" w:styleId="12">
    <w:name w:val="List Paragraph"/>
    <w:qFormat/>
    <w:uiPriority w:val="34"/>
    <w:pPr>
      <w:adjustRightInd w:val="0"/>
      <w:snapToGrid w:val="0"/>
      <w:spacing w:after="200"/>
      <w:ind w:firstLine="420" w:firstLineChars="200"/>
    </w:pPr>
    <w:rPr>
      <w:rFonts w:ascii="Tahoma" w:hAnsi="Tahoma" w:eastAsia="微软雅黑" w:cs="Times New Roman"/>
      <w:sz w:val="22"/>
      <w:szCs w:val="22"/>
      <w:lang w:val="en-US" w:eastAsia="zh-CN" w:bidi="ar-SA"/>
    </w:rPr>
  </w:style>
  <w:style w:type="character" w:customStyle="1" w:styleId="13">
    <w:name w:val="页眉 字符"/>
    <w:basedOn w:val="9"/>
    <w:link w:val="5"/>
    <w:qFormat/>
    <w:uiPriority w:val="0"/>
    <w:rPr>
      <w:rFonts w:asciiTheme="minorHAnsi" w:hAnsiTheme="minorHAnsi" w:eastAsiaTheme="minorEastAsia" w:cstheme="minorBidi"/>
      <w:kern w:val="2"/>
      <w:sz w:val="18"/>
      <w:szCs w:val="18"/>
    </w:rPr>
  </w:style>
  <w:style w:type="character" w:customStyle="1" w:styleId="14">
    <w:name w:val="页脚 字符"/>
    <w:basedOn w:val="9"/>
    <w:link w:val="4"/>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崖州区</Company>
  <Pages>3</Pages>
  <Words>190</Words>
  <Characters>1087</Characters>
  <Lines>9</Lines>
  <Paragraphs>2</Paragraphs>
  <TotalTime>16</TotalTime>
  <ScaleCrop>false</ScaleCrop>
  <LinksUpToDate>false</LinksUpToDate>
  <CharactersWithSpaces>1275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2023-08-30T07:35:00Z</dcterms:created>
  <dc:creator>张威</dc:creator>
  <cp:lastModifiedBy>IH</cp:lastModifiedBy>
  <cp:lastPrinted>2023-09-01T03:30:00Z</cp:lastPrinted>
  <dcterms:modified xsi:type="dcterms:W3CDTF">2023-10-07T02:05:14Z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77AAE9B7DC3E4471B9C8688F12875E2E</vt:lpwstr>
  </property>
</Properties>
</file>