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600" w:lineRule="exact"/>
        <w:jc w:val="left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108508436"/>
      <w:r>
        <w:rPr>
          <w:rFonts w:hint="eastAsia" w:ascii="方正小标宋简体" w:eastAsia="方正小标宋简体"/>
          <w:sz w:val="44"/>
          <w:szCs w:val="44"/>
        </w:rPr>
        <w:t>三亚国际游艇中心</w:t>
      </w:r>
      <w:bookmarkEnd w:id="0"/>
      <w:r>
        <w:rPr>
          <w:rFonts w:hint="eastAsia" w:ascii="方正小标宋简体" w:eastAsia="方正小标宋简体"/>
          <w:sz w:val="44"/>
          <w:szCs w:val="44"/>
        </w:rPr>
        <w:t>试运营展示季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媒体推广方案项目评分说明</w:t>
      </w:r>
    </w:p>
    <w:p/>
    <w:p>
      <w:pPr>
        <w:spacing w:line="578" w:lineRule="exact"/>
        <w:ind w:firstLine="640" w:firstLineChars="200"/>
        <w:outlineLvl w:val="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本项目的评标办法采用综合评分法。满分为100分，其中报价部分得分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0分，商务部分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，技术部分</w:t>
      </w:r>
      <w:r>
        <w:rPr>
          <w:rFonts w:ascii="仿宋_GB2312" w:hAnsi="仿宋_GB2312" w:eastAsia="仿宋_GB2312" w:cs="仿宋_GB2312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分。综合得分最高者为第一成交候选人。</w:t>
      </w:r>
    </w:p>
    <w:p>
      <w:pPr>
        <w:spacing w:line="578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</w:t>
      </w:r>
      <w:r>
        <w:rPr>
          <w:rFonts w:hint="eastAsia" w:eastAsia="黑体"/>
          <w:bCs/>
          <w:sz w:val="32"/>
          <w:szCs w:val="32"/>
        </w:rPr>
        <w:t>报价</w:t>
      </w:r>
      <w:r>
        <w:rPr>
          <w:rFonts w:eastAsia="黑体"/>
          <w:bCs/>
          <w:sz w:val="32"/>
          <w:szCs w:val="32"/>
        </w:rPr>
        <w:t>部分（20分）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价格得分计算公式：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价格分统一采用低价优先法计算，将通过初步筛选的所有投标人的投标价格，即满足招标文件要求且价格最低的投标报价为基准价，其价格分为满分（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0分）。其他投标人的价格分统一按照下列公式计算：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评标基准值</w:t>
      </w:r>
      <w:r>
        <w:rPr>
          <w:rFonts w:eastAsia="仿宋_GB2312"/>
          <w:bCs/>
          <w:color w:val="000000"/>
          <w:sz w:val="32"/>
          <w:szCs w:val="32"/>
        </w:rPr>
        <w:t>=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有效投标人的最低投标报价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报价得分</w:t>
      </w:r>
      <w:r>
        <w:rPr>
          <w:rFonts w:eastAsia="仿宋_GB2312"/>
          <w:bCs/>
          <w:color w:val="000000"/>
          <w:sz w:val="32"/>
          <w:szCs w:val="32"/>
        </w:rPr>
        <w:t>=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评标基准值/投标报价×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0%×100。</w:t>
      </w:r>
    </w:p>
    <w:p>
      <w:pPr>
        <w:spacing w:line="578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注：价格得分取小数点后两位，四舍五入。</w:t>
      </w:r>
    </w:p>
    <w:p>
      <w:pPr>
        <w:spacing w:line="578" w:lineRule="exact"/>
        <w:ind w:firstLine="640" w:firstLineChars="200"/>
        <w:outlineLvl w:val="1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二、商务部分（20分）</w:t>
      </w:r>
    </w:p>
    <w:tbl>
      <w:tblPr>
        <w:tblStyle w:val="6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76"/>
        <w:gridCol w:w="652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99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评审内容</w:t>
            </w:r>
          </w:p>
        </w:tc>
        <w:tc>
          <w:tcPr>
            <w:tcW w:w="6520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评分标准</w:t>
            </w:r>
          </w:p>
        </w:tc>
        <w:tc>
          <w:tcPr>
            <w:tcW w:w="1247" w:type="dxa"/>
          </w:tcPr>
          <w:p>
            <w:pPr>
              <w:spacing w:line="578" w:lineRule="exact"/>
              <w:rPr>
                <w:rFonts w:ascii="方正小标宋简体" w:hAnsi="方正小标宋简体" w:eastAsia="方正小标宋简体" w:cs="方正小标宋简体"/>
                <w:bCs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</w:rPr>
              <w:t>最高得分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699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企业资质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投标人获得文化传播、媒体、广告、行业类奖项；政府授予奖项；公益类奖项；创新类奖项。提供一个奖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分，不提供不得分。</w:t>
            </w:r>
          </w:p>
        </w:tc>
        <w:tc>
          <w:tcPr>
            <w:tcW w:w="1247" w:type="dxa"/>
            <w:vAlign w:val="center"/>
          </w:tcPr>
          <w:p>
            <w:pPr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人员实力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需配备资深专业的自媒体团队，保证有专人与甲方进行对接。配备</w:t>
            </w: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>总</w:t>
            </w:r>
            <w:r>
              <w:rPr>
                <w:sz w:val="24"/>
              </w:rPr>
              <w:t>负责人1名</w:t>
            </w:r>
            <w:r>
              <w:rPr>
                <w:rFonts w:hint="eastAsia"/>
                <w:sz w:val="24"/>
              </w:rPr>
              <w:t>。公众号运营人员需配备：1位对接主管，1位主编写手；视频团队需配备摄像师</w:t>
            </w:r>
            <w:r>
              <w:rPr>
                <w:sz w:val="24"/>
              </w:rPr>
              <w:t>2名，</w:t>
            </w:r>
            <w:r>
              <w:rPr>
                <w:rFonts w:hint="eastAsia"/>
                <w:sz w:val="24"/>
              </w:rPr>
              <w:t>后期制作</w:t>
            </w:r>
            <w:r>
              <w:rPr>
                <w:sz w:val="24"/>
              </w:rPr>
              <w:t>1名。</w:t>
            </w:r>
            <w:r>
              <w:rPr>
                <w:rFonts w:hint="eastAsia"/>
                <w:sz w:val="24"/>
              </w:rPr>
              <w:t>满足</w:t>
            </w:r>
            <w:r>
              <w:rPr>
                <w:sz w:val="24"/>
              </w:rPr>
              <w:t>人员配备齐全得6分，</w:t>
            </w:r>
            <w:r>
              <w:rPr>
                <w:rFonts w:hint="eastAsia"/>
                <w:sz w:val="24"/>
              </w:rPr>
              <w:t>无任何材料提供不得分。</w:t>
            </w:r>
          </w:p>
          <w:p>
            <w:pPr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注：</w:t>
            </w:r>
            <w:r>
              <w:rPr>
                <w:color w:val="000000"/>
                <w:sz w:val="24"/>
              </w:rPr>
              <w:t>提供</w:t>
            </w:r>
            <w:r>
              <w:rPr>
                <w:rFonts w:hint="eastAsia"/>
                <w:color w:val="000000"/>
                <w:sz w:val="24"/>
              </w:rPr>
              <w:t>身份证、毕业证</w:t>
            </w:r>
            <w:r>
              <w:rPr>
                <w:color w:val="000000"/>
                <w:sz w:val="24"/>
              </w:rPr>
              <w:t>及人员2023年近一个月社保复印件加盖公章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1247" w:type="dxa"/>
            <w:vAlign w:val="center"/>
          </w:tcPr>
          <w:p>
            <w:pPr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699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  <w:r>
              <w:rPr>
                <w:sz w:val="24"/>
              </w:rPr>
              <w:t>业绩</w:t>
            </w:r>
          </w:p>
        </w:tc>
        <w:tc>
          <w:tcPr>
            <w:tcW w:w="6520" w:type="dxa"/>
            <w:vAlign w:val="center"/>
          </w:tcPr>
          <w:p>
            <w:pPr>
              <w:snapToGrid w:val="0"/>
              <w:spacing w:line="320" w:lineRule="exact"/>
            </w:pPr>
            <w:r>
              <w:rPr>
                <w:rFonts w:hint="eastAsia"/>
                <w:sz w:val="24"/>
              </w:rPr>
              <w:t>投标人自2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年至今（以合同签订时间为准）承担过类似项目的业绩。每提供一个项目得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分，本项满分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分，需提供类似的项目合同复印件并加盖公章。</w:t>
            </w:r>
          </w:p>
        </w:tc>
        <w:tc>
          <w:tcPr>
            <w:tcW w:w="1247" w:type="dxa"/>
            <w:vAlign w:val="center"/>
          </w:tcPr>
          <w:p>
            <w:pPr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10分</w:t>
            </w:r>
          </w:p>
        </w:tc>
      </w:tr>
    </w:tbl>
    <w:p>
      <w:pPr>
        <w:spacing w:line="578" w:lineRule="exact"/>
        <w:ind w:firstLine="640" w:firstLineChars="200"/>
        <w:outlineLvl w:val="1"/>
        <w:rPr>
          <w:sz w:val="24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技术</w:t>
      </w:r>
      <w:r>
        <w:rPr>
          <w:rFonts w:eastAsia="黑体"/>
          <w:sz w:val="32"/>
          <w:szCs w:val="32"/>
        </w:rPr>
        <w:t>部分（60分）</w:t>
      </w:r>
    </w:p>
    <w:tbl>
      <w:tblPr>
        <w:tblStyle w:val="6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77"/>
        <w:gridCol w:w="485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04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序号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评审内容</w:t>
            </w:r>
          </w:p>
        </w:tc>
        <w:tc>
          <w:tcPr>
            <w:tcW w:w="4850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评分标准</w:t>
            </w:r>
          </w:p>
        </w:tc>
        <w:tc>
          <w:tcPr>
            <w:tcW w:w="1243" w:type="dxa"/>
            <w:vAlign w:val="center"/>
          </w:tcPr>
          <w:p>
            <w:pPr>
              <w:snapToGrid w:val="0"/>
              <w:spacing w:line="578" w:lineRule="exact"/>
              <w:jc w:val="center"/>
              <w:rPr>
                <w:rFonts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</w:rPr>
              <w:t>最高得分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传播方案图文内容：需包含传播总策略，宣传节奏，月度宣传主题与简要内容（以排期的形式呈现）</w:t>
            </w:r>
          </w:p>
        </w:tc>
        <w:tc>
          <w:tcPr>
            <w:tcW w:w="48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A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传播总策略实用性强，与三亚国际游艇中心现阶段痛点相符。宣传节奏紧凑，月度宣传主题与简要内容明晰。（1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-15</w:t>
            </w:r>
            <w:r>
              <w:rPr>
                <w:rFonts w:hint="eastAsia"/>
                <w:sz w:val="24"/>
              </w:rPr>
              <w:t>分）</w:t>
            </w:r>
          </w:p>
          <w:p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B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传播总策略实用性较一般，与三亚国际游艇中心现阶段痛点基本相符。宣传节奏尚可，月度宣传主题与简要内容基本清晰。（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-10</w:t>
            </w:r>
            <w:r>
              <w:rPr>
                <w:rFonts w:hint="eastAsia"/>
                <w:sz w:val="24"/>
              </w:rPr>
              <w:t>分）</w:t>
            </w:r>
          </w:p>
          <w:p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C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传播总策略实用性不强，与三亚国际游艇中心现阶段痛点不相符。宣传节奏不佳，月度宣传主题与简要内容不清晰。（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分-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  <w:p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D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不提供者得0分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传播方案视频内容：基于与图文内容板块一样的传播总策略下的视频主题及简要脚本（以排期的形式呈现）</w:t>
            </w:r>
          </w:p>
        </w:tc>
        <w:tc>
          <w:tcPr>
            <w:tcW w:w="48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A</w:t>
            </w:r>
            <w:r>
              <w:rPr>
                <w:rFonts w:hint="eastAsia"/>
                <w:sz w:val="24"/>
              </w:rPr>
              <w:t>.与图文板块内容较紧密贴合，与三亚国际游艇中心现阶段痛点较为相符。宣传节奏较为紧凑，视频宣传主题与简要脚本内容较为明晰。（11分-15分）</w:t>
            </w:r>
          </w:p>
          <w:p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B</w:t>
            </w:r>
            <w:r>
              <w:rPr>
                <w:rFonts w:hint="eastAsia"/>
                <w:sz w:val="24"/>
              </w:rPr>
              <w:t>.与图文板块内容基本贴合，与三亚国际游艇中心现阶段痛点基本相符。宣传节奏尚可，视频宣传主题与简要脚本内容尚清晰。（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分-1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  <w:p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C</w:t>
            </w:r>
            <w:r>
              <w:rPr>
                <w:rFonts w:hint="eastAsia"/>
                <w:sz w:val="24"/>
              </w:rPr>
              <w:t>.与图文板块内容不太贴合，与三亚国际游艇中心现阶段痛点不太相符。宣传节奏不紧凑，视频宣传主题与简要脚本内不太清晰。（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分-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  <w:p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D</w:t>
            </w:r>
            <w:bookmarkStart w:id="1" w:name="_GoBack"/>
            <w:bookmarkEnd w:id="1"/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不提供者得0分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媒体矩阵（旗下可作为游艇展示季主要发声渠道的媒体平台）</w:t>
            </w:r>
          </w:p>
        </w:tc>
        <w:tc>
          <w:tcPr>
            <w:tcW w:w="4850" w:type="dxa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rFonts w:hint="eastAsia"/>
                <w:sz w:val="24"/>
              </w:rPr>
              <w:t>第三方媒体是垂直媒体领域的强势媒体，此项由后台粉丝量或后台浏览量比较决定；发布频率一个月超过4次；且旗下媒体平台超过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个（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-15</w:t>
            </w:r>
            <w:r>
              <w:rPr>
                <w:rFonts w:hint="eastAsia"/>
                <w:sz w:val="24"/>
              </w:rPr>
              <w:t>分）</w:t>
            </w:r>
            <w:r>
              <w:rPr>
                <w:sz w:val="24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rFonts w:hint="eastAsia"/>
                <w:sz w:val="24"/>
              </w:rPr>
              <w:t>第三方媒体是垂直媒体领域的较强势媒体，此项由后台粉丝量或后台浏览量比较决定。发布频率一个月2</w:t>
            </w:r>
            <w:r>
              <w:rPr>
                <w:sz w:val="24"/>
              </w:rPr>
              <w:t>-3</w:t>
            </w:r>
            <w:r>
              <w:rPr>
                <w:rFonts w:hint="eastAsia"/>
                <w:sz w:val="24"/>
              </w:rPr>
              <w:t>次；且旗下媒体平台超过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个（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-10</w:t>
            </w:r>
            <w:r>
              <w:rPr>
                <w:rFonts w:hint="eastAsia"/>
                <w:sz w:val="24"/>
              </w:rPr>
              <w:t>分）</w:t>
            </w:r>
            <w:r>
              <w:rPr>
                <w:sz w:val="24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rFonts w:hint="eastAsia"/>
                <w:sz w:val="24"/>
              </w:rPr>
              <w:t>第三方媒体是垂直媒体领域的普通媒体，此项由后台粉丝量或后台浏览量比较决定。发布频率一个月2</w:t>
            </w:r>
            <w:r>
              <w:rPr>
                <w:sz w:val="24"/>
              </w:rPr>
              <w:t>-3</w:t>
            </w:r>
            <w:r>
              <w:rPr>
                <w:rFonts w:hint="eastAsia"/>
                <w:sz w:val="24"/>
              </w:rPr>
              <w:t>次；且旗下媒体平台低于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个（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>-4</w:t>
            </w:r>
            <w:r>
              <w:rPr>
                <w:rFonts w:hint="eastAsia"/>
                <w:sz w:val="24"/>
              </w:rPr>
              <w:t>分）</w:t>
            </w:r>
            <w:r>
              <w:rPr>
                <w:sz w:val="24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D.不提供者得0分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媒体价值：设定合理可量化媒体传播效果，媒体曝光量指标。</w:t>
            </w:r>
          </w:p>
        </w:tc>
        <w:tc>
          <w:tcPr>
            <w:tcW w:w="48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A.对图文浏览量，视频播放量有明确设定，对吸引人流量有明确初步预估（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  <w:p>
            <w:pPr>
              <w:widowControl/>
              <w:spacing w:line="400" w:lineRule="exact"/>
              <w:jc w:val="left"/>
            </w:pP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.对图文浏览量，视频播放量设定较为明确，对吸引人流量初步预估较为明确（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分）</w:t>
            </w:r>
          </w:p>
          <w:p>
            <w:pPr>
              <w:widowControl/>
              <w:spacing w:line="4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D.不提供者得0分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媒体虚拟平台：在电子屏幕进行线上虚拟船艇展示</w:t>
            </w:r>
          </w:p>
        </w:tc>
        <w:tc>
          <w:tcPr>
            <w:tcW w:w="485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在馆内电子屏幕，连线自身平台直播船艇展示与售卖（可以提供得5分）</w:t>
            </w:r>
          </w:p>
          <w:p>
            <w:pPr>
              <w:widowControl/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B</w:t>
            </w:r>
            <w:r>
              <w:rPr>
                <w:rFonts w:hint="eastAsia"/>
                <w:sz w:val="24"/>
              </w:rPr>
              <w:t>.不提供者得0分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5分</w:t>
            </w:r>
          </w:p>
        </w:tc>
      </w:tr>
    </w:tbl>
    <w:p>
      <w:pPr>
        <w:spacing w:line="578" w:lineRule="exact"/>
      </w:pPr>
    </w:p>
    <w:p>
      <w:pPr>
        <w:spacing w:line="578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9A97CE"/>
    <w:multiLevelType w:val="singleLevel"/>
    <w:tmpl w:val="D69A97CE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xOGE1ZjVhOTk3NjEyMThlZjI3OTk0ZjA2MTEyOWQifQ=="/>
  </w:docVars>
  <w:rsids>
    <w:rsidRoot w:val="00D16F27"/>
    <w:rsid w:val="00044E69"/>
    <w:rsid w:val="00045DDB"/>
    <w:rsid w:val="000670F1"/>
    <w:rsid w:val="00097010"/>
    <w:rsid w:val="000A29E9"/>
    <w:rsid w:val="000A6E70"/>
    <w:rsid w:val="000D63A5"/>
    <w:rsid w:val="00106D7A"/>
    <w:rsid w:val="001238D0"/>
    <w:rsid w:val="00154E16"/>
    <w:rsid w:val="0015590E"/>
    <w:rsid w:val="00157928"/>
    <w:rsid w:val="001818D9"/>
    <w:rsid w:val="00196443"/>
    <w:rsid w:val="001A2CAB"/>
    <w:rsid w:val="001F43B4"/>
    <w:rsid w:val="00231D32"/>
    <w:rsid w:val="002D4DCC"/>
    <w:rsid w:val="00300BED"/>
    <w:rsid w:val="0030587C"/>
    <w:rsid w:val="00305C41"/>
    <w:rsid w:val="00306AC7"/>
    <w:rsid w:val="0035274C"/>
    <w:rsid w:val="003748CD"/>
    <w:rsid w:val="003A258D"/>
    <w:rsid w:val="003C7C61"/>
    <w:rsid w:val="003F2C44"/>
    <w:rsid w:val="00490EBF"/>
    <w:rsid w:val="004A5BCD"/>
    <w:rsid w:val="004A6209"/>
    <w:rsid w:val="004C3FDD"/>
    <w:rsid w:val="004D3F99"/>
    <w:rsid w:val="004E2D04"/>
    <w:rsid w:val="004E60E6"/>
    <w:rsid w:val="005569CC"/>
    <w:rsid w:val="005619B9"/>
    <w:rsid w:val="005A1935"/>
    <w:rsid w:val="005D4D5B"/>
    <w:rsid w:val="005E4198"/>
    <w:rsid w:val="006358CC"/>
    <w:rsid w:val="00643218"/>
    <w:rsid w:val="006642DE"/>
    <w:rsid w:val="00681BBD"/>
    <w:rsid w:val="00693C32"/>
    <w:rsid w:val="00702A6C"/>
    <w:rsid w:val="00707B8D"/>
    <w:rsid w:val="007167C8"/>
    <w:rsid w:val="0073098F"/>
    <w:rsid w:val="007B01D5"/>
    <w:rsid w:val="007C436D"/>
    <w:rsid w:val="007F2C05"/>
    <w:rsid w:val="0089597D"/>
    <w:rsid w:val="008961E6"/>
    <w:rsid w:val="008E44B4"/>
    <w:rsid w:val="00916BDD"/>
    <w:rsid w:val="0092289A"/>
    <w:rsid w:val="009361F7"/>
    <w:rsid w:val="009C7326"/>
    <w:rsid w:val="009E1DE7"/>
    <w:rsid w:val="00A664D1"/>
    <w:rsid w:val="00A92AEF"/>
    <w:rsid w:val="00AB6CA6"/>
    <w:rsid w:val="00AC4E60"/>
    <w:rsid w:val="00AD3FE2"/>
    <w:rsid w:val="00B1084D"/>
    <w:rsid w:val="00B120F5"/>
    <w:rsid w:val="00B4002C"/>
    <w:rsid w:val="00BA1B95"/>
    <w:rsid w:val="00BA6DE2"/>
    <w:rsid w:val="00BB60DD"/>
    <w:rsid w:val="00BB746E"/>
    <w:rsid w:val="00BC667A"/>
    <w:rsid w:val="00BD4A06"/>
    <w:rsid w:val="00C12253"/>
    <w:rsid w:val="00C46B67"/>
    <w:rsid w:val="00C540E2"/>
    <w:rsid w:val="00C55962"/>
    <w:rsid w:val="00D13E94"/>
    <w:rsid w:val="00D16F27"/>
    <w:rsid w:val="00D50257"/>
    <w:rsid w:val="00D9069C"/>
    <w:rsid w:val="00DB1707"/>
    <w:rsid w:val="00DC4B40"/>
    <w:rsid w:val="00DE5F1D"/>
    <w:rsid w:val="00DF5348"/>
    <w:rsid w:val="00E06A74"/>
    <w:rsid w:val="00E26F61"/>
    <w:rsid w:val="00E554CA"/>
    <w:rsid w:val="00E574AA"/>
    <w:rsid w:val="00EA0F92"/>
    <w:rsid w:val="00ED4A29"/>
    <w:rsid w:val="00ED7868"/>
    <w:rsid w:val="00F02977"/>
    <w:rsid w:val="00F26AEB"/>
    <w:rsid w:val="00F3588F"/>
    <w:rsid w:val="00F97BDE"/>
    <w:rsid w:val="00FB07BD"/>
    <w:rsid w:val="00FD7214"/>
    <w:rsid w:val="00FE6359"/>
    <w:rsid w:val="00FF032A"/>
    <w:rsid w:val="00FF0A37"/>
    <w:rsid w:val="01F03690"/>
    <w:rsid w:val="032625F6"/>
    <w:rsid w:val="0CB63952"/>
    <w:rsid w:val="0DF9388B"/>
    <w:rsid w:val="0E176E8D"/>
    <w:rsid w:val="0ECA6B2A"/>
    <w:rsid w:val="1C5C3A0C"/>
    <w:rsid w:val="226F5814"/>
    <w:rsid w:val="28186EDD"/>
    <w:rsid w:val="2ABB7D9A"/>
    <w:rsid w:val="2D3E1E83"/>
    <w:rsid w:val="2E295219"/>
    <w:rsid w:val="31C430D8"/>
    <w:rsid w:val="31DB16A7"/>
    <w:rsid w:val="31E24650"/>
    <w:rsid w:val="38ED6AB8"/>
    <w:rsid w:val="3C7D36D0"/>
    <w:rsid w:val="3ED454B4"/>
    <w:rsid w:val="46DF72EE"/>
    <w:rsid w:val="4B105519"/>
    <w:rsid w:val="4DFE7F43"/>
    <w:rsid w:val="64F90675"/>
    <w:rsid w:val="66071997"/>
    <w:rsid w:val="6B11316E"/>
    <w:rsid w:val="6E5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无间隔1"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字符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1433</Characters>
  <Lines>11</Lines>
  <Paragraphs>3</Paragraphs>
  <TotalTime>19</TotalTime>
  <ScaleCrop>false</ScaleCrop>
  <LinksUpToDate>false</LinksUpToDate>
  <CharactersWithSpaces>1681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2023-08-30T08:52:00Z</dcterms:created>
  <dc:creator>lxh</dc:creator>
  <cp:lastModifiedBy>IH</cp:lastModifiedBy>
  <cp:lastPrinted>2023-09-28T08:50:00Z</cp:lastPrinted>
  <dcterms:modified xsi:type="dcterms:W3CDTF">2023-10-07T02:03:52Z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7FE32471AB6B4DE899919733EAD381CD_13</vt:lpwstr>
  </property>
</Properties>
</file>